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lang w:val="en-US" w:eastAsia="zh-CN"/>
        </w:rPr>
        <w:t>2</w:t>
      </w:r>
    </w:p>
    <w:p>
      <w:pPr>
        <w:spacing w:line="540" w:lineRule="exact"/>
        <w:ind w:firstLine="2240" w:firstLineChars="7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江西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精品”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产品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或服务项目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申报企业基本情况公示表</w:t>
      </w:r>
    </w:p>
    <w:p>
      <w:pPr>
        <w:adjustRightInd w:val="0"/>
        <w:snapToGrid w:val="0"/>
        <w:rPr>
          <w:rFonts w:ascii="仿宋" w:hAnsi="仿宋" w:eastAsia="仿宋"/>
          <w:snapToGrid w:val="0"/>
          <w:color w:val="000000"/>
          <w:u w:val="single"/>
        </w:rPr>
      </w:pPr>
    </w:p>
    <w:p>
      <w:pPr>
        <w:adjustRightInd w:val="0"/>
        <w:snapToGrid w:val="0"/>
        <w:rPr>
          <w:rFonts w:ascii="仿宋" w:hAnsi="仿宋" w:eastAsia="仿宋"/>
          <w:snapToGrid w:val="0"/>
          <w:color w:val="000000"/>
        </w:rPr>
      </w:pPr>
      <w:r>
        <w:rPr>
          <w:rFonts w:ascii="仿宋" w:hAnsi="仿宋" w:eastAsia="仿宋"/>
          <w:snapToGrid w:val="0"/>
          <w:color w:val="000000"/>
          <w:u w:val="single"/>
        </w:rPr>
        <w:t xml:space="preserve">             </w:t>
      </w:r>
      <w:r>
        <w:rPr>
          <w:rFonts w:hint="eastAsia" w:ascii="仿宋" w:hAnsi="仿宋" w:eastAsia="仿宋"/>
          <w:snapToGrid w:val="0"/>
          <w:color w:val="000000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napToGrid w:val="0"/>
          <w:color w:val="000000"/>
        </w:rPr>
        <w:t>（填报单位盖章）</w:t>
      </w:r>
    </w:p>
    <w:tbl>
      <w:tblPr>
        <w:tblStyle w:val="3"/>
        <w:tblW w:w="13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1"/>
        <w:gridCol w:w="681"/>
        <w:gridCol w:w="451"/>
        <w:gridCol w:w="451"/>
        <w:gridCol w:w="561"/>
        <w:gridCol w:w="556"/>
        <w:gridCol w:w="1168"/>
        <w:gridCol w:w="1091"/>
        <w:gridCol w:w="1091"/>
        <w:gridCol w:w="750"/>
        <w:gridCol w:w="818"/>
        <w:gridCol w:w="900"/>
        <w:gridCol w:w="647"/>
        <w:gridCol w:w="651"/>
        <w:gridCol w:w="951"/>
        <w:gridCol w:w="860"/>
        <w:gridCol w:w="671"/>
        <w:gridCol w:w="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企业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产品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行业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-163" w:leftChars="-51" w:right="-163" w:rightChars="-51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注</w:t>
            </w:r>
          </w:p>
          <w:p>
            <w:pPr>
              <w:spacing w:line="240" w:lineRule="exact"/>
              <w:ind w:left="-163" w:leftChars="-51" w:right="-163" w:rightChars="-51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册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5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11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企业主营业务收入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申报产品销售额（万元）</w:t>
            </w:r>
          </w:p>
        </w:tc>
        <w:tc>
          <w:tcPr>
            <w:tcW w:w="10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企业纳税总额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申报产品出口额（万美元）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企业资产总计</w:t>
            </w:r>
          </w:p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亿元）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bookmarkStart w:id="0" w:name="OLE_LINK4"/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企业自主创新能力</w:t>
            </w:r>
            <w:bookmarkEnd w:id="0"/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质量管理体系认证情况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年以来企业慈善公益捐款总额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企业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（区）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曾获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奖励</w:t>
            </w:r>
          </w:p>
        </w:tc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行业代码</w:t>
            </w: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2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1265" w:hanging="1265" w:hangingChars="600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填表说明：1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</w:t>
      </w:r>
      <w:r>
        <w:rPr>
          <w:rFonts w:ascii="仿宋" w:hAnsi="仿宋" w:eastAsia="仿宋"/>
          <w:b/>
          <w:color w:val="000000"/>
          <w:sz w:val="21"/>
          <w:szCs w:val="21"/>
        </w:rPr>
        <w:t>所属行业名称栏填写行业类别；所属行业代码栏填写《国民经济行业分类》（GB/T 4754—201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7</w:t>
      </w:r>
      <w:r>
        <w:rPr>
          <w:rFonts w:ascii="仿宋" w:hAnsi="仿宋" w:eastAsia="仿宋"/>
          <w:b/>
          <w:color w:val="000000"/>
          <w:sz w:val="21"/>
          <w:szCs w:val="21"/>
        </w:rPr>
        <w:t>）相应中类代码（三位数）。</w:t>
      </w:r>
    </w:p>
    <w:p>
      <w:pPr>
        <w:tabs>
          <w:tab w:val="left" w:pos="1225"/>
        </w:tabs>
        <w:spacing w:line="240" w:lineRule="exact"/>
        <w:ind w:firstLine="1054" w:firstLineChars="500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2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</w:t>
      </w:r>
      <w:r>
        <w:rPr>
          <w:rFonts w:ascii="仿宋" w:hAnsi="仿宋" w:eastAsia="仿宋"/>
          <w:b/>
          <w:color w:val="000000"/>
          <w:sz w:val="21"/>
          <w:szCs w:val="21"/>
        </w:rPr>
        <w:t>注册商标须与注册商标证书上核准使用的商标一致；以万元为单位的数据不保留小数点，以亿元为单位的保留一位小数点。</w:t>
      </w:r>
    </w:p>
    <w:p>
      <w:pPr>
        <w:spacing w:line="240" w:lineRule="exact"/>
        <w:ind w:left="1251" w:leftChars="325" w:hanging="211" w:hangingChars="100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3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</w:t>
      </w:r>
      <w:r>
        <w:rPr>
          <w:rFonts w:ascii="仿宋" w:hAnsi="仿宋" w:eastAsia="仿宋"/>
          <w:b/>
          <w:color w:val="000000"/>
          <w:sz w:val="21"/>
          <w:szCs w:val="21"/>
        </w:rPr>
        <w:t>企业自主创新能力栏依次填写：国家或省高新技术企业；国家或省（部）科技进步Ⅹ等奖；国家或省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、部</w:t>
      </w:r>
      <w:r>
        <w:rPr>
          <w:rFonts w:ascii="仿宋" w:hAnsi="仿宋" w:eastAsia="仿宋"/>
          <w:b/>
          <w:color w:val="000000"/>
          <w:sz w:val="21"/>
          <w:szCs w:val="21"/>
        </w:rPr>
        <w:t>级企业技术中心；国家或省级重点新产品、优秀新产品、自主创新产品；出口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免检</w:t>
      </w:r>
      <w:r>
        <w:rPr>
          <w:rFonts w:ascii="仿宋" w:hAnsi="仿宋" w:eastAsia="仿宋"/>
          <w:b/>
          <w:color w:val="000000"/>
          <w:sz w:val="21"/>
          <w:szCs w:val="21"/>
        </w:rPr>
        <w:t>产品；专利ⅩⅩ件。同类奖项仅需填写所获最高奖项。</w:t>
      </w:r>
    </w:p>
    <w:p>
      <w:pPr>
        <w:tabs>
          <w:tab w:val="left" w:pos="1210"/>
        </w:tabs>
        <w:spacing w:line="240" w:lineRule="exact"/>
        <w:ind w:firstLine="1054" w:firstLineChars="500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4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</w:t>
      </w:r>
      <w:r>
        <w:rPr>
          <w:rFonts w:ascii="仿宋" w:hAnsi="仿宋" w:eastAsia="仿宋"/>
          <w:b/>
          <w:color w:val="000000"/>
          <w:sz w:val="21"/>
          <w:szCs w:val="21"/>
        </w:rPr>
        <w:t>质量管理体系认证情况填写ISO9000、ISO14000、ISO22000、HACCP、GMP等。</w:t>
      </w:r>
    </w:p>
    <w:p>
      <w:pPr>
        <w:spacing w:line="240" w:lineRule="exact"/>
        <w:ind w:left="1251" w:leftChars="325" w:hanging="211" w:hangingChars="1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5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.若有</w:t>
      </w:r>
      <w:r>
        <w:rPr>
          <w:rFonts w:ascii="仿宋" w:hAnsi="仿宋" w:eastAsia="仿宋"/>
          <w:b/>
          <w:color w:val="000000"/>
          <w:sz w:val="21"/>
          <w:szCs w:val="21"/>
        </w:rPr>
        <w:t>出具证明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或文件</w:t>
      </w:r>
      <w:r>
        <w:rPr>
          <w:rFonts w:ascii="仿宋" w:hAnsi="仿宋" w:eastAsia="仿宋"/>
          <w:b/>
          <w:color w:val="000000"/>
          <w:sz w:val="21"/>
          <w:szCs w:val="21"/>
        </w:rPr>
        <w:t>单位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应</w:t>
      </w:r>
      <w:r>
        <w:rPr>
          <w:rFonts w:ascii="仿宋" w:hAnsi="仿宋" w:eastAsia="仿宋"/>
          <w:b/>
          <w:color w:val="000000"/>
          <w:sz w:val="21"/>
          <w:szCs w:val="21"/>
        </w:rPr>
        <w:t>栏依次填写ⅩⅩ市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（县）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XX</w:t>
      </w:r>
      <w:r>
        <w:rPr>
          <w:rFonts w:ascii="仿宋" w:hAnsi="仿宋" w:eastAsia="仿宋"/>
          <w:b/>
          <w:color w:val="000000"/>
          <w:sz w:val="21"/>
          <w:szCs w:val="21"/>
        </w:rPr>
        <w:t>局、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XX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厅</w:t>
      </w:r>
      <w:r>
        <w:rPr>
          <w:rFonts w:ascii="仿宋" w:hAnsi="仿宋" w:eastAsia="仿宋"/>
          <w:b/>
          <w:color w:val="000000"/>
          <w:sz w:val="21"/>
          <w:szCs w:val="21"/>
        </w:rPr>
        <w:t>、ⅩⅩ海关等；曾获奖励栏依次填写：ⅩⅩ年江西名牌产品（农产品）；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奖励栏目不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写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著名商标；备注栏同时写明企业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类型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，如私企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或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国企等。</w:t>
      </w:r>
    </w:p>
    <w:p>
      <w:pPr>
        <w:spacing w:line="240" w:lineRule="exact"/>
        <w:ind w:firstLine="1054" w:firstLineChars="500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ascii="仿宋" w:hAnsi="仿宋" w:eastAsia="仿宋"/>
          <w:b/>
          <w:color w:val="000000"/>
          <w:sz w:val="21"/>
          <w:szCs w:val="21"/>
        </w:rPr>
        <w:t>6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.企业所在市、县（区）务必填写详细（注明属经济技术开发区、高新技术开发区还是工业园区）</w:t>
      </w:r>
      <w:r>
        <w:rPr>
          <w:rFonts w:ascii="仿宋" w:hAnsi="仿宋" w:eastAsia="仿宋"/>
          <w:b/>
          <w:color w:val="000000"/>
          <w:sz w:val="21"/>
          <w:szCs w:val="21"/>
        </w:rPr>
        <w:t>。</w:t>
      </w:r>
    </w:p>
    <w:p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7.</w:t>
      </w:r>
      <w:r>
        <w:rPr>
          <w:rFonts w:ascii="仿宋" w:hAnsi="仿宋" w:eastAsia="仿宋"/>
          <w:b/>
          <w:color w:val="000000"/>
          <w:sz w:val="21"/>
          <w:szCs w:val="21"/>
        </w:rPr>
        <w:t>本表由企业填报，设区市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、各行业协会（商会）</w:t>
      </w:r>
      <w:r>
        <w:rPr>
          <w:rFonts w:ascii="仿宋" w:hAnsi="仿宋" w:eastAsia="仿宋"/>
          <w:b/>
          <w:color w:val="000000"/>
          <w:sz w:val="21"/>
          <w:szCs w:val="21"/>
        </w:rPr>
        <w:t>或省有关部门按同类产品归类且连续排序汇总上报，省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促进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会秘书处</w:t>
      </w:r>
      <w:r>
        <w:rPr>
          <w:rFonts w:ascii="仿宋" w:hAnsi="仿宋" w:eastAsia="仿宋"/>
          <w:b/>
          <w:color w:val="000000"/>
          <w:sz w:val="21"/>
          <w:szCs w:val="21"/>
        </w:rPr>
        <w:t>向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社会公示。</w:t>
      </w:r>
    </w:p>
    <w:p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240" w:afterLines="100" w:line="480" w:lineRule="exact"/>
        <w:rPr>
          <w:rFonts w:hint="eastAsia" w:ascii="仿宋" w:hAnsi="仿宋" w:eastAsia="仿宋"/>
          <w:color w:val="000000"/>
          <w:spacing w:val="20"/>
          <w:lang w:val="en-US" w:eastAsia="zh-CN"/>
        </w:rPr>
      </w:pPr>
      <w:r>
        <w:rPr>
          <w:rFonts w:hint="eastAsia" w:ascii="仿宋" w:hAnsi="仿宋" w:eastAsia="仿宋"/>
          <w:color w:val="000000"/>
          <w:spacing w:val="20"/>
        </w:rPr>
        <w:t>附件</w:t>
      </w:r>
      <w:r>
        <w:rPr>
          <w:rFonts w:hint="eastAsia" w:ascii="仿宋" w:hAnsi="仿宋" w:eastAsia="仿宋"/>
          <w:color w:val="000000"/>
          <w:spacing w:val="20"/>
          <w:lang w:val="en-US" w:eastAsia="zh-CN"/>
        </w:rPr>
        <w:t>3</w:t>
      </w:r>
    </w:p>
    <w:p>
      <w:pPr>
        <w:adjustRightInd w:val="0"/>
        <w:snapToGrid w:val="0"/>
        <w:spacing w:after="240" w:afterLines="100" w:line="400" w:lineRule="exact"/>
        <w:jc w:val="center"/>
        <w:rPr>
          <w:rFonts w:hint="eastAsia" w:ascii="黑体" w:hAnsi="黑体" w:eastAsia="黑体"/>
          <w:bCs/>
          <w:color w:val="000000"/>
        </w:rPr>
      </w:pPr>
    </w:p>
    <w:p>
      <w:pPr>
        <w:adjustRightInd w:val="0"/>
        <w:snapToGrid w:val="0"/>
        <w:spacing w:after="240" w:afterLines="100" w:line="400" w:lineRule="exact"/>
        <w:jc w:val="center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申报</w:t>
      </w:r>
      <w:r>
        <w:rPr>
          <w:rFonts w:hint="eastAsia" w:ascii="黑体" w:hAnsi="黑体" w:eastAsia="黑体"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江西</w:t>
      </w:r>
      <w:r>
        <w:rPr>
          <w:rFonts w:hint="eastAsia" w:ascii="黑体" w:hAnsi="黑体" w:eastAsia="黑体"/>
          <w:bCs/>
          <w:color w:val="000000"/>
          <w:sz w:val="36"/>
          <w:szCs w:val="36"/>
          <w:lang w:eastAsia="zh-CN"/>
        </w:rPr>
        <w:t>精品”承诺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书</w:t>
      </w:r>
    </w:p>
    <w:p>
      <w:pPr>
        <w:widowControl/>
        <w:adjustRightInd w:val="0"/>
        <w:snapToGrid w:val="0"/>
        <w:spacing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本企业自愿申报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“江西精品”</w:t>
      </w:r>
      <w:r>
        <w:rPr>
          <w:rFonts w:ascii="仿宋" w:hAnsi="仿宋" w:eastAsia="仿宋"/>
          <w:color w:val="000000"/>
          <w:sz w:val="32"/>
          <w:szCs w:val="32"/>
        </w:rPr>
        <w:t>产品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（服务项目）</w:t>
      </w:r>
      <w:r>
        <w:rPr>
          <w:rFonts w:ascii="仿宋" w:hAnsi="仿宋" w:eastAsia="仿宋"/>
          <w:color w:val="000000"/>
          <w:sz w:val="32"/>
          <w:szCs w:val="32"/>
        </w:rPr>
        <w:t>。在申报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“江西精品”</w:t>
      </w:r>
      <w:r>
        <w:rPr>
          <w:rFonts w:ascii="仿宋" w:hAnsi="仿宋" w:eastAsia="仿宋"/>
          <w:color w:val="000000"/>
          <w:sz w:val="32"/>
          <w:szCs w:val="32"/>
        </w:rPr>
        <w:t>过程中严格遵守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申请的有关</w:t>
      </w:r>
      <w:r>
        <w:rPr>
          <w:rFonts w:ascii="仿宋" w:hAnsi="仿宋" w:eastAsia="仿宋"/>
          <w:color w:val="000000"/>
          <w:sz w:val="32"/>
          <w:szCs w:val="32"/>
        </w:rPr>
        <w:t>条款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和要求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做</w:t>
      </w:r>
      <w:r>
        <w:rPr>
          <w:rFonts w:ascii="仿宋" w:hAnsi="仿宋" w:eastAsia="仿宋"/>
          <w:color w:val="000000"/>
          <w:sz w:val="32"/>
          <w:szCs w:val="32"/>
        </w:rPr>
        <w:t>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1．</w:t>
      </w:r>
      <w:r>
        <w:rPr>
          <w:rFonts w:hint="eastAsia" w:ascii="仿宋" w:hAnsi="仿宋" w:eastAsia="仿宋"/>
          <w:color w:val="000000"/>
          <w:sz w:val="32"/>
          <w:szCs w:val="32"/>
        </w:rPr>
        <w:t>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信</w:t>
      </w:r>
      <w:r>
        <w:rPr>
          <w:rFonts w:hint="eastAsia" w:ascii="仿宋" w:hAnsi="仿宋" w:eastAsia="仿宋"/>
          <w:color w:val="000000"/>
          <w:sz w:val="32"/>
          <w:szCs w:val="32"/>
        </w:rPr>
        <w:t>申报，</w:t>
      </w:r>
      <w:r>
        <w:rPr>
          <w:rFonts w:ascii="仿宋" w:hAnsi="仿宋" w:eastAsia="仿宋"/>
          <w:color w:val="000000"/>
          <w:sz w:val="32"/>
          <w:szCs w:val="32"/>
        </w:rPr>
        <w:t>保证填写的申报数据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申</w:t>
      </w:r>
      <w:r>
        <w:rPr>
          <w:rFonts w:hint="eastAsia" w:ascii="仿宋" w:hAnsi="仿宋" w:eastAsia="仿宋"/>
          <w:color w:val="000000"/>
          <w:sz w:val="32"/>
          <w:szCs w:val="32"/>
        </w:rPr>
        <w:t>请</w:t>
      </w:r>
      <w:r>
        <w:rPr>
          <w:rFonts w:ascii="仿宋" w:hAnsi="仿宋" w:eastAsia="仿宋"/>
          <w:color w:val="000000"/>
          <w:sz w:val="32"/>
          <w:szCs w:val="32"/>
        </w:rPr>
        <w:t>材料真实。申请材料严格按规定的格式编制。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2．接受省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促进</w:t>
      </w:r>
      <w:r>
        <w:rPr>
          <w:rFonts w:hint="eastAsia" w:ascii="仿宋" w:hAnsi="仿宋" w:eastAsia="仿宋"/>
          <w:color w:val="000000"/>
          <w:sz w:val="32"/>
          <w:szCs w:val="32"/>
        </w:rPr>
        <w:t>会秘书处</w:t>
      </w:r>
      <w:r>
        <w:rPr>
          <w:rFonts w:ascii="仿宋" w:hAnsi="仿宋" w:eastAsia="仿宋"/>
          <w:color w:val="000000"/>
          <w:sz w:val="32"/>
          <w:szCs w:val="32"/>
        </w:rPr>
        <w:t>对企业的基本情况（包括申报产品的销售额、出口额、纳税</w:t>
      </w:r>
      <w:r>
        <w:rPr>
          <w:rFonts w:hint="eastAsia" w:ascii="仿宋" w:hAnsi="仿宋" w:eastAsia="仿宋"/>
          <w:color w:val="000000"/>
          <w:sz w:val="32"/>
          <w:szCs w:val="32"/>
        </w:rPr>
        <w:t>额</w:t>
      </w:r>
      <w:r>
        <w:rPr>
          <w:rFonts w:ascii="仿宋" w:hAnsi="仿宋" w:eastAsia="仿宋"/>
          <w:color w:val="000000"/>
          <w:sz w:val="32"/>
          <w:szCs w:val="32"/>
        </w:rPr>
        <w:t>等）进行公示。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3．接受省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促进</w:t>
      </w:r>
      <w:r>
        <w:rPr>
          <w:rFonts w:hint="eastAsia" w:ascii="仿宋" w:hAnsi="仿宋" w:eastAsia="仿宋"/>
          <w:color w:val="000000"/>
          <w:sz w:val="32"/>
          <w:szCs w:val="32"/>
        </w:rPr>
        <w:t>会组织的申报企业和企业申报产品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顾客满意度调查等咨询服务。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不</w:t>
      </w:r>
      <w:r>
        <w:rPr>
          <w:rFonts w:ascii="仿宋" w:hAnsi="仿宋" w:eastAsia="仿宋"/>
          <w:color w:val="000000"/>
          <w:sz w:val="32"/>
          <w:szCs w:val="32"/>
        </w:rPr>
        <w:t>采取不正当手段，干扰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“江西精品”</w:t>
      </w:r>
      <w:r>
        <w:rPr>
          <w:rFonts w:ascii="仿宋" w:hAnsi="仿宋" w:eastAsia="仿宋"/>
          <w:color w:val="000000"/>
          <w:sz w:val="32"/>
          <w:szCs w:val="32"/>
        </w:rPr>
        <w:t>认定工作。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．积极参加、</w:t>
      </w:r>
      <w:r>
        <w:rPr>
          <w:rFonts w:hint="eastAsia" w:ascii="仿宋" w:hAnsi="仿宋" w:eastAsia="仿宋"/>
          <w:color w:val="000000"/>
          <w:sz w:val="32"/>
          <w:szCs w:val="32"/>
        </w:rPr>
        <w:t>认真配合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“江西精品”</w:t>
      </w:r>
      <w:r>
        <w:rPr>
          <w:rFonts w:ascii="仿宋" w:hAnsi="仿宋" w:eastAsia="仿宋"/>
          <w:color w:val="000000"/>
          <w:sz w:val="32"/>
          <w:szCs w:val="32"/>
        </w:rPr>
        <w:t>认定过程中的同行业评价、社会评议以及现场评审等</w:t>
      </w:r>
      <w:r>
        <w:rPr>
          <w:rFonts w:hint="eastAsia" w:ascii="仿宋" w:hAnsi="仿宋" w:eastAsia="仿宋"/>
          <w:color w:val="000000"/>
          <w:sz w:val="32"/>
          <w:szCs w:val="32"/>
        </w:rPr>
        <w:t>工作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42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42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42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4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企业名称</w:t>
      </w:r>
      <w:r>
        <w:rPr>
          <w:rFonts w:hint="eastAsia" w:ascii="仿宋" w:hAnsi="仿宋" w:eastAsia="仿宋"/>
          <w:color w:val="000000"/>
          <w:sz w:val="28"/>
          <w:szCs w:val="28"/>
        </w:rPr>
        <w:t>（公章）：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</w:t>
      </w:r>
    </w:p>
    <w:p>
      <w:pPr>
        <w:spacing w:line="420" w:lineRule="exact"/>
        <w:ind w:right="-99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420" w:lineRule="exact"/>
        <w:ind w:right="-99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20" w:lineRule="exact"/>
        <w:ind w:right="-99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企业</w:t>
      </w:r>
      <w:r>
        <w:rPr>
          <w:rFonts w:hint="eastAsia" w:ascii="仿宋" w:hAnsi="仿宋" w:eastAsia="仿宋"/>
          <w:color w:val="000000"/>
          <w:sz w:val="28"/>
          <w:szCs w:val="28"/>
        </w:rPr>
        <w:t>主要负责</w:t>
      </w:r>
      <w:r>
        <w:rPr>
          <w:rFonts w:ascii="仿宋" w:hAnsi="仿宋" w:eastAsia="仿宋"/>
          <w:color w:val="000000"/>
          <w:sz w:val="28"/>
          <w:szCs w:val="28"/>
        </w:rPr>
        <w:t>人签字：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 日期：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</w:p>
    <w:p>
      <w:pPr>
        <w:spacing w:line="420" w:lineRule="exact"/>
        <w:ind w:right="-99"/>
        <w:rPr>
          <w:rFonts w:hint="eastAsia" w:ascii="仿宋" w:hAnsi="仿宋" w:eastAsia="仿宋"/>
          <w:b/>
          <w:color w:val="000000"/>
          <w:sz w:val="28"/>
          <w:szCs w:val="28"/>
        </w:rPr>
      </w:pPr>
    </w:p>
    <w:p/>
    <w:p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仿宋" w:hAnsi="仿宋" w:eastAsia="仿宋"/>
          <w:b/>
          <w:color w:val="000000"/>
          <w:sz w:val="21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- 15 -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mYyNzBjNDI3Y2JiMjM1OTNkMjhmMzZjZmUyY2QifQ=="/>
  </w:docVars>
  <w:rsids>
    <w:rsidRoot w:val="00000000"/>
    <w:rsid w:val="30745438"/>
    <w:rsid w:val="5BD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687</Characters>
  <Lines>0</Lines>
  <Paragraphs>0</Paragraphs>
  <TotalTime>0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2024-07-11T07:59:00Z</dcterms:created>
  <dc:creator>PA</dc:creator>
  <cp:lastModifiedBy>DB</cp:lastModifiedBy>
  <dcterms:modified xsi:type="dcterms:W3CDTF">2024-07-11T08:11:05Z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295CF8B9231444DF86E24FD55EC2DDB7_12</vt:lpwstr>
  </property>
</Properties>
</file>